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D74DBD" w14:textId="77777777" w:rsidR="005378C0" w:rsidRDefault="005378C0" w:rsidP="005378C0">
      <w:pPr>
        <w:widowControl w:val="0"/>
        <w:spacing w:after="0" w:line="276" w:lineRule="auto"/>
        <w:ind w:firstLine="720"/>
        <w:rPr>
          <w:rFonts w:ascii="Palatino Linotype" w:eastAsia="Palatino Linotype" w:hAnsi="Palatino Linotype" w:cs="Palatino Linotype"/>
          <w:b/>
          <w:sz w:val="20"/>
          <w:szCs w:val="20"/>
          <w:lang w:val="en-US"/>
        </w:rPr>
      </w:pPr>
    </w:p>
    <w:p w14:paraId="74C7843F" w14:textId="7AED475A" w:rsidR="00411089" w:rsidRPr="000C4BEF" w:rsidRDefault="00605128" w:rsidP="005378C0">
      <w:pPr>
        <w:widowControl w:val="0"/>
        <w:spacing w:after="0" w:line="276" w:lineRule="auto"/>
        <w:ind w:firstLine="720"/>
        <w:rPr>
          <w:rFonts w:ascii="Arial" w:eastAsia="Arial" w:hAnsi="Arial" w:cs="Arial"/>
          <w:lang w:val="en-US"/>
        </w:rPr>
      </w:pPr>
      <w:r w:rsidRPr="000C4BEF">
        <w:rPr>
          <w:rFonts w:ascii="Palatino Linotype" w:eastAsia="Palatino Linotype" w:hAnsi="Palatino Linotype" w:cs="Palatino Linotype"/>
          <w:b/>
          <w:sz w:val="20"/>
          <w:szCs w:val="20"/>
          <w:lang w:val="en-US"/>
        </w:rPr>
        <w:t xml:space="preserve">Chart 1- </w:t>
      </w:r>
      <w:r w:rsidRPr="000C4BEF">
        <w:rPr>
          <w:rFonts w:ascii="Palatino Linotype" w:eastAsia="Palatino Linotype" w:hAnsi="Palatino Linotype" w:cs="Palatino Linotype"/>
          <w:sz w:val="20"/>
          <w:szCs w:val="20"/>
          <w:lang w:val="en-US"/>
        </w:rPr>
        <w:t xml:space="preserve">MRI, blood and CSF results, and treatment   </w:t>
      </w:r>
    </w:p>
    <w:tbl>
      <w:tblPr>
        <w:tblStyle w:val="a6"/>
        <w:tblpPr w:leftFromText="180" w:rightFromText="180" w:topFromText="180" w:bottomFromText="180" w:vertAnchor="text" w:horzAnchor="margin" w:tblpY="290"/>
        <w:tblW w:w="0" w:type="auto"/>
        <w:tblInd w:w="0" w:type="dxa"/>
        <w:tblBorders>
          <w:top w:val="single" w:sz="4" w:space="0" w:color="000000"/>
          <w:left w:val="single" w:sz="4" w:space="0" w:color="000000"/>
          <w:bottom w:val="single" w:sz="4" w:space="0" w:color="000000"/>
          <w:right w:val="single" w:sz="4" w:space="0" w:color="000000"/>
          <w:insideH w:val="single" w:sz="4" w:space="0" w:color="000000"/>
        </w:tblBorders>
        <w:tblLook w:val="0400" w:firstRow="0" w:lastRow="0" w:firstColumn="0" w:lastColumn="0" w:noHBand="0" w:noVBand="1"/>
      </w:tblPr>
      <w:tblGrid>
        <w:gridCol w:w="794"/>
        <w:gridCol w:w="10202"/>
        <w:gridCol w:w="3152"/>
        <w:gridCol w:w="1240"/>
      </w:tblGrid>
      <w:tr w:rsidR="005378C0" w:rsidRPr="000C4BEF" w14:paraId="02188C7E" w14:textId="77777777" w:rsidTr="005378C0">
        <w:trPr>
          <w:trHeight w:val="272"/>
        </w:trPr>
        <w:tc>
          <w:tcPr>
            <w:tcW w:w="0" w:type="auto"/>
            <w:vMerge w:val="restart"/>
            <w:shd w:val="clear" w:color="auto" w:fill="AEAAAA"/>
            <w:vAlign w:val="center"/>
          </w:tcPr>
          <w:p w14:paraId="4E12EADD" w14:textId="77777777" w:rsidR="005378C0" w:rsidRPr="000C4BEF" w:rsidRDefault="005378C0" w:rsidP="005378C0">
            <w:pPr>
              <w:spacing w:after="0" w:line="240" w:lineRule="auto"/>
              <w:jc w:val="center"/>
              <w:rPr>
                <w:rFonts w:ascii="Arial" w:eastAsia="Arial" w:hAnsi="Arial" w:cs="Arial"/>
                <w:b/>
                <w:sz w:val="14"/>
                <w:szCs w:val="14"/>
              </w:rPr>
            </w:pPr>
            <w:r w:rsidRPr="000C4BEF">
              <w:rPr>
                <w:rFonts w:ascii="Arial" w:eastAsia="Arial" w:hAnsi="Arial" w:cs="Arial"/>
                <w:b/>
                <w:sz w:val="14"/>
                <w:szCs w:val="14"/>
              </w:rPr>
              <w:t>Individual</w:t>
            </w:r>
          </w:p>
        </w:tc>
        <w:tc>
          <w:tcPr>
            <w:tcW w:w="0" w:type="auto"/>
            <w:vMerge w:val="restart"/>
            <w:shd w:val="clear" w:color="auto" w:fill="AEAAAA"/>
            <w:vAlign w:val="center"/>
          </w:tcPr>
          <w:p w14:paraId="46C900A5" w14:textId="77777777" w:rsidR="005378C0" w:rsidRPr="000C4BEF" w:rsidRDefault="005378C0" w:rsidP="005378C0">
            <w:pPr>
              <w:spacing w:after="0" w:line="240" w:lineRule="auto"/>
              <w:jc w:val="center"/>
              <w:rPr>
                <w:rFonts w:ascii="Arial" w:eastAsia="Arial" w:hAnsi="Arial" w:cs="Arial"/>
                <w:b/>
                <w:sz w:val="14"/>
                <w:szCs w:val="14"/>
              </w:rPr>
            </w:pPr>
            <w:r w:rsidRPr="000C4BEF">
              <w:rPr>
                <w:rFonts w:ascii="Arial" w:eastAsia="Arial" w:hAnsi="Arial" w:cs="Arial"/>
                <w:b/>
                <w:sz w:val="14"/>
                <w:szCs w:val="14"/>
              </w:rPr>
              <w:t>MRI data</w:t>
            </w:r>
          </w:p>
        </w:tc>
        <w:tc>
          <w:tcPr>
            <w:tcW w:w="0" w:type="auto"/>
            <w:gridSpan w:val="2"/>
            <w:shd w:val="clear" w:color="auto" w:fill="AEAAAA"/>
            <w:vAlign w:val="center"/>
          </w:tcPr>
          <w:p w14:paraId="282A840C" w14:textId="77777777" w:rsidR="005378C0" w:rsidRPr="000C4BEF" w:rsidRDefault="005378C0" w:rsidP="005378C0">
            <w:pPr>
              <w:spacing w:after="0" w:line="240" w:lineRule="auto"/>
              <w:jc w:val="center"/>
              <w:rPr>
                <w:rFonts w:ascii="Arial" w:eastAsia="Arial" w:hAnsi="Arial" w:cs="Arial"/>
                <w:b/>
                <w:sz w:val="14"/>
                <w:szCs w:val="14"/>
              </w:rPr>
            </w:pPr>
            <w:r w:rsidRPr="000C4BEF">
              <w:rPr>
                <w:rFonts w:ascii="Arial" w:eastAsia="Arial" w:hAnsi="Arial" w:cs="Arial"/>
                <w:b/>
                <w:sz w:val="14"/>
                <w:szCs w:val="14"/>
              </w:rPr>
              <w:t>Treatments</w:t>
            </w:r>
          </w:p>
        </w:tc>
      </w:tr>
      <w:tr w:rsidR="005378C0" w:rsidRPr="000C4BEF" w14:paraId="177C622F" w14:textId="77777777" w:rsidTr="005378C0">
        <w:trPr>
          <w:trHeight w:val="372"/>
        </w:trPr>
        <w:tc>
          <w:tcPr>
            <w:tcW w:w="0" w:type="auto"/>
            <w:vMerge/>
            <w:shd w:val="clear" w:color="auto" w:fill="AEAAAA"/>
            <w:vAlign w:val="center"/>
          </w:tcPr>
          <w:p w14:paraId="02D25FDF" w14:textId="77777777" w:rsidR="005378C0" w:rsidRPr="000C4BEF" w:rsidRDefault="005378C0" w:rsidP="005378C0">
            <w:pPr>
              <w:widowControl w:val="0"/>
              <w:spacing w:after="0" w:line="276" w:lineRule="auto"/>
              <w:rPr>
                <w:rFonts w:ascii="Arial" w:eastAsia="Arial" w:hAnsi="Arial" w:cs="Arial"/>
                <w:b/>
                <w:sz w:val="14"/>
                <w:szCs w:val="14"/>
              </w:rPr>
            </w:pPr>
          </w:p>
        </w:tc>
        <w:tc>
          <w:tcPr>
            <w:tcW w:w="0" w:type="auto"/>
            <w:vMerge/>
            <w:shd w:val="clear" w:color="auto" w:fill="AEAAAA"/>
            <w:vAlign w:val="center"/>
          </w:tcPr>
          <w:p w14:paraId="5BB493ED" w14:textId="77777777" w:rsidR="005378C0" w:rsidRPr="000C4BEF" w:rsidRDefault="005378C0" w:rsidP="005378C0">
            <w:pPr>
              <w:widowControl w:val="0"/>
              <w:spacing w:after="0" w:line="276" w:lineRule="auto"/>
              <w:rPr>
                <w:rFonts w:ascii="Arial" w:eastAsia="Arial" w:hAnsi="Arial" w:cs="Arial"/>
                <w:b/>
                <w:sz w:val="14"/>
                <w:szCs w:val="14"/>
              </w:rPr>
            </w:pPr>
          </w:p>
        </w:tc>
        <w:tc>
          <w:tcPr>
            <w:tcW w:w="0" w:type="auto"/>
            <w:shd w:val="clear" w:color="auto" w:fill="AEAAAA"/>
            <w:vAlign w:val="center"/>
          </w:tcPr>
          <w:p w14:paraId="399BD87D" w14:textId="77777777" w:rsidR="005378C0" w:rsidRPr="000C4BEF" w:rsidRDefault="005378C0" w:rsidP="005378C0">
            <w:pPr>
              <w:spacing w:after="0" w:line="240" w:lineRule="auto"/>
              <w:jc w:val="center"/>
              <w:rPr>
                <w:rFonts w:ascii="Arial" w:eastAsia="Arial" w:hAnsi="Arial" w:cs="Arial"/>
                <w:b/>
                <w:sz w:val="14"/>
                <w:szCs w:val="14"/>
              </w:rPr>
            </w:pPr>
            <w:r w:rsidRPr="000C4BEF">
              <w:rPr>
                <w:rFonts w:ascii="Arial" w:eastAsia="Arial" w:hAnsi="Arial" w:cs="Arial"/>
                <w:b/>
                <w:sz w:val="14"/>
                <w:szCs w:val="14"/>
              </w:rPr>
              <w:t>Hospital care</w:t>
            </w:r>
          </w:p>
        </w:tc>
        <w:tc>
          <w:tcPr>
            <w:tcW w:w="0" w:type="auto"/>
            <w:shd w:val="clear" w:color="auto" w:fill="AEAAAA"/>
            <w:vAlign w:val="center"/>
          </w:tcPr>
          <w:p w14:paraId="2ACD0D1A" w14:textId="77777777" w:rsidR="005378C0" w:rsidRPr="000C4BEF" w:rsidRDefault="005378C0" w:rsidP="005378C0">
            <w:pPr>
              <w:spacing w:after="0" w:line="240" w:lineRule="auto"/>
              <w:jc w:val="center"/>
              <w:rPr>
                <w:rFonts w:ascii="Arial" w:eastAsia="Arial" w:hAnsi="Arial" w:cs="Arial"/>
                <w:b/>
                <w:sz w:val="14"/>
                <w:szCs w:val="14"/>
              </w:rPr>
            </w:pPr>
            <w:r w:rsidRPr="000C4BEF">
              <w:rPr>
                <w:rFonts w:ascii="Arial" w:eastAsia="Arial" w:hAnsi="Arial" w:cs="Arial"/>
                <w:b/>
                <w:sz w:val="14"/>
                <w:szCs w:val="14"/>
              </w:rPr>
              <w:t>At home maintenance</w:t>
            </w:r>
          </w:p>
        </w:tc>
      </w:tr>
      <w:tr w:rsidR="005378C0" w:rsidRPr="000C4BEF" w14:paraId="60B3D32F" w14:textId="77777777" w:rsidTr="005378C0">
        <w:trPr>
          <w:trHeight w:val="463"/>
        </w:trPr>
        <w:tc>
          <w:tcPr>
            <w:tcW w:w="0" w:type="auto"/>
            <w:vAlign w:val="center"/>
          </w:tcPr>
          <w:p w14:paraId="19CF6058"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1</w:t>
            </w:r>
          </w:p>
        </w:tc>
        <w:tc>
          <w:tcPr>
            <w:tcW w:w="0" w:type="auto"/>
            <w:vAlign w:val="center"/>
          </w:tcPr>
          <w:p w14:paraId="43AFDD72" w14:textId="77777777" w:rsidR="005378C0" w:rsidRPr="000C4BEF" w:rsidRDefault="005378C0" w:rsidP="005378C0">
            <w:pPr>
              <w:spacing w:after="0" w:line="240" w:lineRule="auto"/>
              <w:jc w:val="center"/>
              <w:rPr>
                <w:rFonts w:ascii="Arial" w:eastAsia="Arial" w:hAnsi="Arial" w:cs="Arial"/>
                <w:sz w:val="14"/>
                <w:szCs w:val="14"/>
                <w:lang w:val="en-US"/>
              </w:rPr>
            </w:pPr>
            <w:proofErr w:type="spellStart"/>
            <w:r w:rsidRPr="000C4BEF">
              <w:rPr>
                <w:rFonts w:ascii="Arial" w:eastAsia="Arial" w:hAnsi="Arial" w:cs="Arial"/>
                <w:sz w:val="14"/>
                <w:szCs w:val="14"/>
                <w:lang w:val="en-US"/>
              </w:rPr>
              <w:t>Prechiasmatic</w:t>
            </w:r>
            <w:proofErr w:type="spellEnd"/>
            <w:r w:rsidRPr="000C4BEF">
              <w:rPr>
                <w:rFonts w:ascii="Arial" w:eastAsia="Arial" w:hAnsi="Arial" w:cs="Arial"/>
                <w:sz w:val="14"/>
                <w:szCs w:val="14"/>
                <w:lang w:val="en-US"/>
              </w:rPr>
              <w:t xml:space="preserve"> portions of the optic nerves showing contrast enhancement and diffusion restriction, with hypersignal on T2/FLAIR, discrete </w:t>
            </w:r>
            <w:proofErr w:type="spellStart"/>
            <w:r w:rsidRPr="000C4BEF">
              <w:rPr>
                <w:rFonts w:ascii="Arial" w:eastAsia="Arial" w:hAnsi="Arial" w:cs="Arial"/>
                <w:sz w:val="14"/>
                <w:szCs w:val="14"/>
                <w:lang w:val="en-US"/>
              </w:rPr>
              <w:t>tumefactive</w:t>
            </w:r>
            <w:proofErr w:type="spellEnd"/>
            <w:r w:rsidRPr="000C4BEF">
              <w:rPr>
                <w:rFonts w:ascii="Arial" w:eastAsia="Arial" w:hAnsi="Arial" w:cs="Arial"/>
                <w:sz w:val="14"/>
                <w:szCs w:val="14"/>
                <w:lang w:val="en-US"/>
              </w:rPr>
              <w:t xml:space="preserve"> effect and tiny foci in the pons</w:t>
            </w:r>
          </w:p>
        </w:tc>
        <w:tc>
          <w:tcPr>
            <w:tcW w:w="0" w:type="auto"/>
            <w:vAlign w:val="center"/>
          </w:tcPr>
          <w:p w14:paraId="4CCF3136"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w:t>
            </w:r>
          </w:p>
        </w:tc>
        <w:tc>
          <w:tcPr>
            <w:tcW w:w="0" w:type="auto"/>
            <w:vAlign w:val="center"/>
          </w:tcPr>
          <w:p w14:paraId="439FB371"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p>
        </w:tc>
      </w:tr>
      <w:tr w:rsidR="005378C0" w:rsidRPr="000C4BEF" w14:paraId="0150C4DC" w14:textId="77777777" w:rsidTr="005378C0">
        <w:trPr>
          <w:trHeight w:val="463"/>
        </w:trPr>
        <w:tc>
          <w:tcPr>
            <w:tcW w:w="0" w:type="auto"/>
            <w:vAlign w:val="center"/>
          </w:tcPr>
          <w:p w14:paraId="6DB9A9CF"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2</w:t>
            </w:r>
          </w:p>
        </w:tc>
        <w:tc>
          <w:tcPr>
            <w:tcW w:w="0" w:type="auto"/>
            <w:vAlign w:val="center"/>
          </w:tcPr>
          <w:p w14:paraId="06B44E15" w14:textId="1BDD0AFD"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Hypersignal on T2/FLAIR and </w:t>
            </w:r>
            <w:proofErr w:type="spellStart"/>
            <w:r w:rsidRPr="000C4BEF">
              <w:rPr>
                <w:rFonts w:ascii="Arial" w:eastAsia="Arial" w:hAnsi="Arial" w:cs="Arial"/>
                <w:sz w:val="14"/>
                <w:szCs w:val="14"/>
                <w:lang w:val="en-US"/>
              </w:rPr>
              <w:t>hyposignal</w:t>
            </w:r>
            <w:proofErr w:type="spellEnd"/>
            <w:r w:rsidRPr="000C4BEF">
              <w:rPr>
                <w:rFonts w:ascii="Arial" w:eastAsia="Arial" w:hAnsi="Arial" w:cs="Arial"/>
                <w:sz w:val="14"/>
                <w:szCs w:val="14"/>
                <w:lang w:val="en-US"/>
              </w:rPr>
              <w:t xml:space="preserve"> on T1 in the mammillary bodies, proximal chiasm-optic portion, more evident on the left, as well as in the oculomotor nerves along their entire length, without restriction to diffusion or post-contrast enhancement, with a slight </w:t>
            </w:r>
            <w:proofErr w:type="spellStart"/>
            <w:r w:rsidRPr="000C4BEF">
              <w:rPr>
                <w:rFonts w:ascii="Arial" w:eastAsia="Arial" w:hAnsi="Arial" w:cs="Arial"/>
                <w:sz w:val="14"/>
                <w:szCs w:val="14"/>
                <w:lang w:val="en-US"/>
              </w:rPr>
              <w:t>tumefactive</w:t>
            </w:r>
            <w:proofErr w:type="spellEnd"/>
            <w:r w:rsidRPr="000C4BEF">
              <w:rPr>
                <w:rFonts w:ascii="Arial" w:eastAsia="Arial" w:hAnsi="Arial" w:cs="Arial"/>
                <w:sz w:val="14"/>
                <w:szCs w:val="14"/>
                <w:lang w:val="en-US"/>
              </w:rPr>
              <w:t xml:space="preserve"> effect. Periaqueductal mesencephalic abnormality; no obvious abnormalities in the pons</w:t>
            </w:r>
          </w:p>
        </w:tc>
        <w:tc>
          <w:tcPr>
            <w:tcW w:w="0" w:type="auto"/>
            <w:vAlign w:val="center"/>
          </w:tcPr>
          <w:p w14:paraId="4E24340D"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Methylprednisolone pulse therapy,</w:t>
            </w:r>
            <w:r w:rsidRPr="000C4BEF">
              <w:rPr>
                <w:rFonts w:ascii="Arial" w:eastAsia="Arial" w:hAnsi="Arial" w:cs="Arial"/>
                <w:sz w:val="14"/>
                <w:szCs w:val="14"/>
                <w:lang w:val="en-US"/>
              </w:rPr>
              <w:br/>
              <w:t>Gamma Globulin pulse therapy</w:t>
            </w:r>
          </w:p>
        </w:tc>
        <w:tc>
          <w:tcPr>
            <w:tcW w:w="0" w:type="auto"/>
            <w:vAlign w:val="center"/>
          </w:tcPr>
          <w:p w14:paraId="5DEDA7F2"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Rituximab,</w:t>
            </w:r>
            <w:r w:rsidRPr="000C4BEF">
              <w:rPr>
                <w:rFonts w:ascii="Arial" w:eastAsia="Arial" w:hAnsi="Arial" w:cs="Arial"/>
                <w:sz w:val="14"/>
                <w:szCs w:val="14"/>
              </w:rPr>
              <w:br/>
              <w:t>Mycophenolate</w:t>
            </w:r>
          </w:p>
        </w:tc>
      </w:tr>
      <w:tr w:rsidR="005378C0" w:rsidRPr="000C4BEF" w14:paraId="473472CD" w14:textId="77777777" w:rsidTr="005378C0">
        <w:trPr>
          <w:trHeight w:val="590"/>
        </w:trPr>
        <w:tc>
          <w:tcPr>
            <w:tcW w:w="0" w:type="auto"/>
            <w:vAlign w:val="center"/>
          </w:tcPr>
          <w:p w14:paraId="129CEC83"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3</w:t>
            </w:r>
          </w:p>
        </w:tc>
        <w:tc>
          <w:tcPr>
            <w:tcW w:w="0" w:type="auto"/>
            <w:vAlign w:val="center"/>
          </w:tcPr>
          <w:p w14:paraId="292A2719"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Hypersignal on FLAIR and </w:t>
            </w:r>
            <w:proofErr w:type="spellStart"/>
            <w:r w:rsidRPr="000C4BEF">
              <w:rPr>
                <w:rFonts w:ascii="Arial" w:eastAsia="Arial" w:hAnsi="Arial" w:cs="Arial"/>
                <w:sz w:val="14"/>
                <w:szCs w:val="14"/>
                <w:lang w:val="en-US"/>
              </w:rPr>
              <w:t>hyposignal</w:t>
            </w:r>
            <w:proofErr w:type="spellEnd"/>
            <w:r w:rsidRPr="000C4BEF">
              <w:rPr>
                <w:rFonts w:ascii="Arial" w:eastAsia="Arial" w:hAnsi="Arial" w:cs="Arial"/>
                <w:sz w:val="14"/>
                <w:szCs w:val="14"/>
                <w:lang w:val="en-US"/>
              </w:rPr>
              <w:t xml:space="preserve"> on T1 around the IV ventricle (</w:t>
            </w:r>
            <w:proofErr w:type="spellStart"/>
            <w:r w:rsidRPr="000C4BEF">
              <w:rPr>
                <w:rFonts w:ascii="Arial" w:eastAsia="Arial" w:hAnsi="Arial" w:cs="Arial"/>
                <w:sz w:val="14"/>
                <w:szCs w:val="14"/>
                <w:lang w:val="en-US"/>
              </w:rPr>
              <w:t>periependymal</w:t>
            </w:r>
            <w:proofErr w:type="spellEnd"/>
            <w:r w:rsidRPr="000C4BEF">
              <w:rPr>
                <w:rFonts w:ascii="Arial" w:eastAsia="Arial" w:hAnsi="Arial" w:cs="Arial"/>
                <w:sz w:val="14"/>
                <w:szCs w:val="14"/>
                <w:lang w:val="en-US"/>
              </w:rPr>
              <w:t xml:space="preserve"> distribution), in bulbar, pontine and cerebellar topography, observing an area of ​​restricted </w:t>
            </w:r>
            <w:proofErr w:type="spellStart"/>
            <w:r w:rsidRPr="000C4BEF">
              <w:rPr>
                <w:rFonts w:ascii="Arial" w:eastAsia="Arial" w:hAnsi="Arial" w:cs="Arial"/>
                <w:sz w:val="14"/>
                <w:szCs w:val="14"/>
                <w:lang w:val="en-US"/>
              </w:rPr>
              <w:t>diffusibility</w:t>
            </w:r>
            <w:proofErr w:type="spellEnd"/>
            <w:r w:rsidRPr="000C4BEF">
              <w:rPr>
                <w:rFonts w:ascii="Arial" w:eastAsia="Arial" w:hAnsi="Arial" w:cs="Arial"/>
                <w:sz w:val="14"/>
                <w:szCs w:val="14"/>
                <w:lang w:val="en-US"/>
              </w:rPr>
              <w:t xml:space="preserve"> in the right cerebellar hemisphere. There are also foci of high signal on T2 in the frontoparietal white matter, which are not very specific</w:t>
            </w:r>
          </w:p>
        </w:tc>
        <w:tc>
          <w:tcPr>
            <w:tcW w:w="0" w:type="auto"/>
            <w:vAlign w:val="center"/>
          </w:tcPr>
          <w:p w14:paraId="512AB054"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 plasmapheresis</w:t>
            </w:r>
          </w:p>
        </w:tc>
        <w:tc>
          <w:tcPr>
            <w:tcW w:w="0" w:type="auto"/>
            <w:vAlign w:val="center"/>
          </w:tcPr>
          <w:p w14:paraId="6DBB5839"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Azathioprine</w:t>
            </w:r>
          </w:p>
        </w:tc>
      </w:tr>
      <w:tr w:rsidR="005378C0" w:rsidRPr="000C4BEF" w14:paraId="2E9811D4" w14:textId="77777777" w:rsidTr="005378C0">
        <w:trPr>
          <w:trHeight w:val="463"/>
        </w:trPr>
        <w:tc>
          <w:tcPr>
            <w:tcW w:w="0" w:type="auto"/>
            <w:vAlign w:val="center"/>
          </w:tcPr>
          <w:p w14:paraId="4224F21F"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4</w:t>
            </w:r>
          </w:p>
        </w:tc>
        <w:tc>
          <w:tcPr>
            <w:tcW w:w="0" w:type="auto"/>
            <w:vAlign w:val="center"/>
          </w:tcPr>
          <w:p w14:paraId="1E696C53"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Signal abnormalities and contrast uptake on the left optic nerve, slight signal abnormality in the right postrema area, spinal cord injury D8-D11. Discreet restriction of diffusion of the optic nerves, more evident on the right.</w:t>
            </w:r>
          </w:p>
        </w:tc>
        <w:tc>
          <w:tcPr>
            <w:tcW w:w="0" w:type="auto"/>
            <w:vAlign w:val="center"/>
          </w:tcPr>
          <w:p w14:paraId="4D6D768E"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Acyclovir, Clarithromycin, Ampicillin, </w:t>
            </w:r>
            <w:r w:rsidRPr="000C4BEF">
              <w:rPr>
                <w:rFonts w:ascii="Arial" w:eastAsia="Arial" w:hAnsi="Arial" w:cs="Arial"/>
                <w:sz w:val="14"/>
                <w:szCs w:val="14"/>
                <w:lang w:val="en-US"/>
              </w:rPr>
              <w:br/>
              <w:t>Methylprednisolone pulse therapy, plasmapheresis</w:t>
            </w:r>
          </w:p>
        </w:tc>
        <w:tc>
          <w:tcPr>
            <w:tcW w:w="0" w:type="auto"/>
            <w:vAlign w:val="center"/>
          </w:tcPr>
          <w:p w14:paraId="7B6A0D95"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Mycophenolate</w:t>
            </w:r>
          </w:p>
        </w:tc>
      </w:tr>
      <w:tr w:rsidR="005378C0" w:rsidRPr="000C4BEF" w14:paraId="0DEDB1B9" w14:textId="77777777" w:rsidTr="005378C0">
        <w:trPr>
          <w:trHeight w:val="463"/>
        </w:trPr>
        <w:tc>
          <w:tcPr>
            <w:tcW w:w="0" w:type="auto"/>
            <w:vAlign w:val="center"/>
          </w:tcPr>
          <w:p w14:paraId="1AF0BFDE"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5</w:t>
            </w:r>
          </w:p>
        </w:tc>
        <w:tc>
          <w:tcPr>
            <w:tcW w:w="0" w:type="auto"/>
            <w:vAlign w:val="center"/>
          </w:tcPr>
          <w:p w14:paraId="20FD76ED"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Apparently chronic lesion of the region postrema, signs of extensive bilateral optic neuritis involving 5 segments (including chiasm), </w:t>
            </w:r>
            <w:proofErr w:type="spellStart"/>
            <w:r w:rsidRPr="000C4BEF">
              <w:rPr>
                <w:rFonts w:ascii="Arial" w:eastAsia="Arial" w:hAnsi="Arial" w:cs="Arial"/>
                <w:sz w:val="14"/>
                <w:szCs w:val="14"/>
                <w:lang w:val="en-US"/>
              </w:rPr>
              <w:t>asymmetricaly</w:t>
            </w:r>
            <w:proofErr w:type="spellEnd"/>
            <w:r w:rsidRPr="000C4BEF">
              <w:rPr>
                <w:rFonts w:ascii="Arial" w:eastAsia="Arial" w:hAnsi="Arial" w:cs="Arial"/>
                <w:sz w:val="14"/>
                <w:szCs w:val="14"/>
                <w:lang w:val="en-US"/>
              </w:rPr>
              <w:t xml:space="preserve"> worse on the right, without contrast enhancement. Extensive myelitis involving 15 fragmented segments, from C2-T8, central, with bright spot. Debatable focus of hypersignal on T2/FLAIR in the left pons.</w:t>
            </w:r>
          </w:p>
          <w:p w14:paraId="36C81C51" w14:textId="77777777" w:rsidR="005378C0" w:rsidRPr="000C4BEF" w:rsidRDefault="005378C0" w:rsidP="005378C0">
            <w:pPr>
              <w:spacing w:after="0" w:line="240" w:lineRule="auto"/>
              <w:jc w:val="center"/>
              <w:rPr>
                <w:rFonts w:ascii="Arial" w:eastAsia="Arial" w:hAnsi="Arial" w:cs="Arial"/>
                <w:sz w:val="14"/>
                <w:szCs w:val="14"/>
                <w:lang w:val="en-US"/>
              </w:rPr>
            </w:pPr>
          </w:p>
        </w:tc>
        <w:tc>
          <w:tcPr>
            <w:tcW w:w="0" w:type="auto"/>
            <w:vAlign w:val="center"/>
          </w:tcPr>
          <w:p w14:paraId="35F32E70"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 plasmapheresis</w:t>
            </w:r>
          </w:p>
        </w:tc>
        <w:tc>
          <w:tcPr>
            <w:tcW w:w="0" w:type="auto"/>
            <w:vAlign w:val="center"/>
          </w:tcPr>
          <w:p w14:paraId="4D493E73"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p>
        </w:tc>
      </w:tr>
      <w:tr w:rsidR="005378C0" w:rsidRPr="000C4BEF" w14:paraId="11DB078D" w14:textId="77777777" w:rsidTr="005378C0">
        <w:trPr>
          <w:trHeight w:val="463"/>
        </w:trPr>
        <w:tc>
          <w:tcPr>
            <w:tcW w:w="0" w:type="auto"/>
            <w:vAlign w:val="center"/>
          </w:tcPr>
          <w:p w14:paraId="72C7C7EB"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6</w:t>
            </w:r>
          </w:p>
        </w:tc>
        <w:tc>
          <w:tcPr>
            <w:tcW w:w="0" w:type="auto"/>
            <w:vAlign w:val="center"/>
          </w:tcPr>
          <w:p w14:paraId="754D67AC"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Hypersignal on T2 associated with segmental enhancement of the left optic nerve in the optic canal. Abnormality in the left optic nerve signal. The remainder of the skull MRI showed no evident abnormalities.</w:t>
            </w:r>
          </w:p>
        </w:tc>
        <w:tc>
          <w:tcPr>
            <w:tcW w:w="0" w:type="auto"/>
            <w:vAlign w:val="center"/>
          </w:tcPr>
          <w:p w14:paraId="358F2181"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w:t>
            </w:r>
          </w:p>
        </w:tc>
        <w:tc>
          <w:tcPr>
            <w:tcW w:w="0" w:type="auto"/>
            <w:vAlign w:val="center"/>
          </w:tcPr>
          <w:p w14:paraId="4F051A9E"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w:t>
            </w:r>
          </w:p>
        </w:tc>
      </w:tr>
      <w:tr w:rsidR="005378C0" w:rsidRPr="000C4BEF" w14:paraId="1CE2497B" w14:textId="77777777" w:rsidTr="005378C0">
        <w:trPr>
          <w:trHeight w:val="272"/>
        </w:trPr>
        <w:tc>
          <w:tcPr>
            <w:tcW w:w="0" w:type="auto"/>
            <w:vAlign w:val="center"/>
          </w:tcPr>
          <w:p w14:paraId="1ABD7222"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7</w:t>
            </w:r>
          </w:p>
        </w:tc>
        <w:tc>
          <w:tcPr>
            <w:tcW w:w="0" w:type="auto"/>
            <w:vAlign w:val="center"/>
          </w:tcPr>
          <w:p w14:paraId="70D047E2"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Hypersignal on T2/FLAIR in the central region of the pons</w:t>
            </w:r>
          </w:p>
        </w:tc>
        <w:tc>
          <w:tcPr>
            <w:tcW w:w="0" w:type="auto"/>
            <w:vAlign w:val="center"/>
          </w:tcPr>
          <w:p w14:paraId="01629886"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w:t>
            </w:r>
          </w:p>
        </w:tc>
        <w:tc>
          <w:tcPr>
            <w:tcW w:w="0" w:type="auto"/>
            <w:vAlign w:val="center"/>
          </w:tcPr>
          <w:p w14:paraId="3E82040D"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p>
        </w:tc>
      </w:tr>
      <w:tr w:rsidR="005378C0" w:rsidRPr="000C4BEF" w14:paraId="51C54BA4" w14:textId="77777777" w:rsidTr="005378C0">
        <w:trPr>
          <w:trHeight w:val="648"/>
        </w:trPr>
        <w:tc>
          <w:tcPr>
            <w:tcW w:w="0" w:type="auto"/>
            <w:vAlign w:val="center"/>
          </w:tcPr>
          <w:p w14:paraId="3029C20F"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8</w:t>
            </w:r>
          </w:p>
        </w:tc>
        <w:tc>
          <w:tcPr>
            <w:tcW w:w="0" w:type="auto"/>
            <w:vAlign w:val="center"/>
          </w:tcPr>
          <w:p w14:paraId="4D069323"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Foci of hypersignal on T2/FLAIR in the subcortical and periventricular white matter, without restriction to diffusion or contrast enhancement, located in the posterior segment of the internal capsule and </w:t>
            </w:r>
            <w:proofErr w:type="spellStart"/>
            <w:r w:rsidRPr="000C4BEF">
              <w:rPr>
                <w:rFonts w:ascii="Arial" w:eastAsia="Arial" w:hAnsi="Arial" w:cs="Arial"/>
                <w:sz w:val="14"/>
                <w:szCs w:val="14"/>
                <w:lang w:val="en-US"/>
              </w:rPr>
              <w:t>periatrial</w:t>
            </w:r>
            <w:proofErr w:type="spellEnd"/>
            <w:r w:rsidRPr="000C4BEF">
              <w:rPr>
                <w:rFonts w:ascii="Arial" w:eastAsia="Arial" w:hAnsi="Arial" w:cs="Arial"/>
                <w:sz w:val="14"/>
                <w:szCs w:val="14"/>
                <w:lang w:val="en-US"/>
              </w:rPr>
              <w:t xml:space="preserve"> region on the left. There is a similar lesion in the superior cerebellar peduncle on the left. Foci in the pons adjacent to the walls of the IV ventricle, most evident in its left anterior aspect.</w:t>
            </w:r>
          </w:p>
        </w:tc>
        <w:tc>
          <w:tcPr>
            <w:tcW w:w="0" w:type="auto"/>
            <w:vAlign w:val="center"/>
          </w:tcPr>
          <w:p w14:paraId="10478FD1"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w:t>
            </w:r>
          </w:p>
        </w:tc>
        <w:tc>
          <w:tcPr>
            <w:tcW w:w="0" w:type="auto"/>
            <w:vAlign w:val="center"/>
          </w:tcPr>
          <w:p w14:paraId="24650032"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 xml:space="preserve">Prednisolone, </w:t>
            </w:r>
            <w:r w:rsidRPr="000C4BEF">
              <w:rPr>
                <w:rFonts w:ascii="Arial" w:eastAsia="Arial" w:hAnsi="Arial" w:cs="Arial"/>
                <w:sz w:val="14"/>
                <w:szCs w:val="14"/>
              </w:rPr>
              <w:br/>
              <w:t>Azathioprine</w:t>
            </w:r>
          </w:p>
        </w:tc>
      </w:tr>
      <w:tr w:rsidR="005378C0" w:rsidRPr="000C4BEF" w14:paraId="65740A5E" w14:textId="77777777" w:rsidTr="005378C0">
        <w:trPr>
          <w:trHeight w:val="272"/>
        </w:trPr>
        <w:tc>
          <w:tcPr>
            <w:tcW w:w="0" w:type="auto"/>
            <w:vAlign w:val="center"/>
          </w:tcPr>
          <w:p w14:paraId="18F3A560"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9</w:t>
            </w:r>
          </w:p>
        </w:tc>
        <w:tc>
          <w:tcPr>
            <w:tcW w:w="0" w:type="auto"/>
            <w:vAlign w:val="center"/>
          </w:tcPr>
          <w:p w14:paraId="561C22B3"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Spinal cord injury, no further specifications</w:t>
            </w:r>
          </w:p>
        </w:tc>
        <w:tc>
          <w:tcPr>
            <w:tcW w:w="0" w:type="auto"/>
            <w:vAlign w:val="center"/>
          </w:tcPr>
          <w:p w14:paraId="106C0A2B"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w:t>
            </w:r>
          </w:p>
        </w:tc>
        <w:tc>
          <w:tcPr>
            <w:tcW w:w="0" w:type="auto"/>
            <w:vAlign w:val="center"/>
          </w:tcPr>
          <w:p w14:paraId="1BCEBEA2"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Azathioprine</w:t>
            </w:r>
          </w:p>
        </w:tc>
      </w:tr>
      <w:tr w:rsidR="005378C0" w:rsidRPr="000C4BEF" w14:paraId="6C9CF83B" w14:textId="77777777" w:rsidTr="005378C0">
        <w:trPr>
          <w:trHeight w:val="928"/>
        </w:trPr>
        <w:tc>
          <w:tcPr>
            <w:tcW w:w="0" w:type="auto"/>
            <w:vAlign w:val="center"/>
          </w:tcPr>
          <w:p w14:paraId="2FBE96DC"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10</w:t>
            </w:r>
          </w:p>
        </w:tc>
        <w:tc>
          <w:tcPr>
            <w:tcW w:w="0" w:type="auto"/>
            <w:vAlign w:val="center"/>
          </w:tcPr>
          <w:p w14:paraId="3DAE402D"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Hypersignal on T2/Flair with imprecise limits in the right </w:t>
            </w:r>
            <w:proofErr w:type="spellStart"/>
            <w:r w:rsidRPr="000C4BEF">
              <w:rPr>
                <w:rFonts w:ascii="Arial" w:eastAsia="Arial" w:hAnsi="Arial" w:cs="Arial"/>
                <w:sz w:val="14"/>
                <w:szCs w:val="14"/>
                <w:lang w:val="en-US"/>
              </w:rPr>
              <w:t>thalamo</w:t>
            </w:r>
            <w:proofErr w:type="spellEnd"/>
            <w:r w:rsidRPr="000C4BEF">
              <w:rPr>
                <w:rFonts w:ascii="Arial" w:eastAsia="Arial" w:hAnsi="Arial" w:cs="Arial"/>
                <w:sz w:val="14"/>
                <w:szCs w:val="14"/>
                <w:lang w:val="en-US"/>
              </w:rPr>
              <w:t xml:space="preserve"> capsular region, bilateral pallidal capsular region, in the midbrain, in the pons (especially in the tegmentum), in the vicinity of the IV ventricle, in the medulla oblongata, in the deep white matter of the cerebellar hemispheres, in the superior and middle cerebellar peduncles and in the periphery of the right cerebellar hemisphere, without evident contrast or diffusion restriction. Hypersignal on T2/Flair of the </w:t>
            </w:r>
            <w:proofErr w:type="spellStart"/>
            <w:r w:rsidRPr="000C4BEF">
              <w:rPr>
                <w:rFonts w:ascii="Arial" w:eastAsia="Arial" w:hAnsi="Arial" w:cs="Arial"/>
                <w:sz w:val="14"/>
                <w:szCs w:val="14"/>
                <w:lang w:val="en-US"/>
              </w:rPr>
              <w:t>intraorbital</w:t>
            </w:r>
            <w:proofErr w:type="spellEnd"/>
            <w:r w:rsidRPr="000C4BEF">
              <w:rPr>
                <w:rFonts w:ascii="Arial" w:eastAsia="Arial" w:hAnsi="Arial" w:cs="Arial"/>
                <w:sz w:val="14"/>
                <w:szCs w:val="14"/>
                <w:lang w:val="en-US"/>
              </w:rPr>
              <w:t xml:space="preserve"> and canalicular portions of the optic nerves.</w:t>
            </w:r>
          </w:p>
        </w:tc>
        <w:tc>
          <w:tcPr>
            <w:tcW w:w="0" w:type="auto"/>
            <w:vAlign w:val="center"/>
          </w:tcPr>
          <w:p w14:paraId="60E0D869"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 plasmapheresis</w:t>
            </w:r>
          </w:p>
        </w:tc>
        <w:tc>
          <w:tcPr>
            <w:tcW w:w="0" w:type="auto"/>
            <w:vAlign w:val="center"/>
          </w:tcPr>
          <w:p w14:paraId="2CDB1AB9"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Azathioprine,</w:t>
            </w:r>
            <w:r w:rsidRPr="000C4BEF">
              <w:rPr>
                <w:rFonts w:ascii="Arial" w:eastAsia="Arial" w:hAnsi="Arial" w:cs="Arial"/>
                <w:sz w:val="14"/>
                <w:szCs w:val="14"/>
              </w:rPr>
              <w:br/>
              <w:t>Mycophenolate</w:t>
            </w:r>
          </w:p>
        </w:tc>
      </w:tr>
      <w:tr w:rsidR="005378C0" w:rsidRPr="000C4BEF" w14:paraId="5B941050" w14:textId="77777777" w:rsidTr="005378C0">
        <w:trPr>
          <w:trHeight w:val="696"/>
        </w:trPr>
        <w:tc>
          <w:tcPr>
            <w:tcW w:w="0" w:type="auto"/>
            <w:vAlign w:val="center"/>
          </w:tcPr>
          <w:p w14:paraId="5CEBE525"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11</w:t>
            </w:r>
          </w:p>
        </w:tc>
        <w:tc>
          <w:tcPr>
            <w:tcW w:w="0" w:type="auto"/>
            <w:vAlign w:val="center"/>
          </w:tcPr>
          <w:p w14:paraId="60C2A411"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Multiple lesions with high signal on T2 and FLAIR of periventricular distribution, located in the periventricular white matter of the medulla and semi-oval centers and corpus callosum, in the fourth ventricle, </w:t>
            </w:r>
            <w:proofErr w:type="spellStart"/>
            <w:r w:rsidRPr="000C4BEF">
              <w:rPr>
                <w:rFonts w:ascii="Arial" w:eastAsia="Arial" w:hAnsi="Arial" w:cs="Arial"/>
                <w:sz w:val="14"/>
                <w:szCs w:val="14"/>
                <w:lang w:val="en-US"/>
              </w:rPr>
              <w:t>callososeptal</w:t>
            </w:r>
            <w:proofErr w:type="spellEnd"/>
            <w:r w:rsidRPr="000C4BEF">
              <w:rPr>
                <w:rFonts w:ascii="Arial" w:eastAsia="Arial" w:hAnsi="Arial" w:cs="Arial"/>
                <w:sz w:val="14"/>
                <w:szCs w:val="14"/>
                <w:lang w:val="en-US"/>
              </w:rPr>
              <w:t xml:space="preserve"> interface, right thalamus, tegmentum of the pons and postrema area. Does not present enhancement through contrast, surrounding edema or diffusion restriction.</w:t>
            </w:r>
          </w:p>
        </w:tc>
        <w:tc>
          <w:tcPr>
            <w:tcW w:w="0" w:type="auto"/>
            <w:vAlign w:val="center"/>
          </w:tcPr>
          <w:p w14:paraId="261D0209"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Methylprednisolone pulse therapy, plasmapheresis</w:t>
            </w:r>
          </w:p>
        </w:tc>
        <w:tc>
          <w:tcPr>
            <w:tcW w:w="0" w:type="auto"/>
            <w:vAlign w:val="center"/>
          </w:tcPr>
          <w:p w14:paraId="41E3CF4A"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Azathioprine</w:t>
            </w:r>
          </w:p>
        </w:tc>
      </w:tr>
      <w:tr w:rsidR="005378C0" w:rsidRPr="000C4BEF" w14:paraId="71053281" w14:textId="77777777" w:rsidTr="005378C0">
        <w:trPr>
          <w:trHeight w:val="928"/>
        </w:trPr>
        <w:tc>
          <w:tcPr>
            <w:tcW w:w="0" w:type="auto"/>
            <w:vAlign w:val="center"/>
          </w:tcPr>
          <w:p w14:paraId="5A42C35F"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12</w:t>
            </w:r>
          </w:p>
        </w:tc>
        <w:tc>
          <w:tcPr>
            <w:tcW w:w="0" w:type="auto"/>
            <w:vAlign w:val="center"/>
          </w:tcPr>
          <w:p w14:paraId="4E4E0C72"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 xml:space="preserve">Areas of hypersignal on T2/FLAIR in the central portion of the spinal cord, sometimes confluent, identified from the </w:t>
            </w:r>
            <w:proofErr w:type="spellStart"/>
            <w:r w:rsidRPr="000C4BEF">
              <w:rPr>
                <w:rFonts w:ascii="Arial" w:eastAsia="Arial" w:hAnsi="Arial" w:cs="Arial"/>
                <w:sz w:val="14"/>
                <w:szCs w:val="14"/>
                <w:lang w:val="en-US"/>
              </w:rPr>
              <w:t>bulbo</w:t>
            </w:r>
            <w:proofErr w:type="spellEnd"/>
            <w:r w:rsidRPr="000C4BEF">
              <w:rPr>
                <w:rFonts w:ascii="Arial" w:eastAsia="Arial" w:hAnsi="Arial" w:cs="Arial"/>
                <w:sz w:val="14"/>
                <w:szCs w:val="14"/>
                <w:lang w:val="en-US"/>
              </w:rPr>
              <w:t xml:space="preserve"> medullary transition to the D6-D7 level. Areas of discrete segmental reductions in spinal caliber are associated at these levels, most evident in D1. Small foci of post-contrast enhancement, discontinuous, with imprecise limits, without evident mass effect, scattered throughout the spinal cord at the levels of D1 and between D3 and D6-D5, non-specific. Thinning, without contrast enhancement in the </w:t>
            </w:r>
            <w:proofErr w:type="spellStart"/>
            <w:r w:rsidRPr="000C4BEF">
              <w:rPr>
                <w:rFonts w:ascii="Arial" w:eastAsia="Arial" w:hAnsi="Arial" w:cs="Arial"/>
                <w:sz w:val="14"/>
                <w:szCs w:val="14"/>
                <w:lang w:val="en-US"/>
              </w:rPr>
              <w:t>prechiasmatic</w:t>
            </w:r>
            <w:proofErr w:type="spellEnd"/>
            <w:r w:rsidRPr="000C4BEF">
              <w:rPr>
                <w:rFonts w:ascii="Arial" w:eastAsia="Arial" w:hAnsi="Arial" w:cs="Arial"/>
                <w:sz w:val="14"/>
                <w:szCs w:val="14"/>
                <w:lang w:val="en-US"/>
              </w:rPr>
              <w:t xml:space="preserve"> segment of the left optic nerve, associated with ectasia of its sheath, as well as the anterolateral portion of the optic chiasm on this side.</w:t>
            </w:r>
          </w:p>
        </w:tc>
        <w:tc>
          <w:tcPr>
            <w:tcW w:w="0" w:type="auto"/>
            <w:vAlign w:val="center"/>
          </w:tcPr>
          <w:p w14:paraId="234051B3" w14:textId="77777777" w:rsidR="005378C0" w:rsidRPr="000C4BEF" w:rsidRDefault="005378C0" w:rsidP="005378C0">
            <w:pPr>
              <w:spacing w:after="0" w:line="240" w:lineRule="auto"/>
              <w:jc w:val="center"/>
              <w:rPr>
                <w:rFonts w:ascii="Arial" w:eastAsia="Arial" w:hAnsi="Arial" w:cs="Arial"/>
                <w:sz w:val="14"/>
                <w:szCs w:val="14"/>
                <w:lang w:val="en-US"/>
              </w:rPr>
            </w:pPr>
            <w:r w:rsidRPr="000C4BEF">
              <w:rPr>
                <w:rFonts w:ascii="Arial" w:eastAsia="Arial" w:hAnsi="Arial" w:cs="Arial"/>
                <w:sz w:val="14"/>
                <w:szCs w:val="14"/>
                <w:lang w:val="en-US"/>
              </w:rPr>
              <w:t>Surgical procedure for Transverse myelitis and Syringomyelia, Methylprednisolone pulse therapy, Cyclophosphamide</w:t>
            </w:r>
          </w:p>
        </w:tc>
        <w:tc>
          <w:tcPr>
            <w:tcW w:w="0" w:type="auto"/>
            <w:vAlign w:val="center"/>
          </w:tcPr>
          <w:p w14:paraId="758B0329" w14:textId="77777777" w:rsidR="005378C0" w:rsidRPr="000C4BEF" w:rsidRDefault="005378C0" w:rsidP="005378C0">
            <w:pPr>
              <w:spacing w:after="0" w:line="240" w:lineRule="auto"/>
              <w:jc w:val="center"/>
              <w:rPr>
                <w:rFonts w:ascii="Arial" w:eastAsia="Arial" w:hAnsi="Arial" w:cs="Arial"/>
                <w:sz w:val="14"/>
                <w:szCs w:val="14"/>
              </w:rPr>
            </w:pPr>
            <w:r w:rsidRPr="000C4BEF">
              <w:rPr>
                <w:rFonts w:ascii="Arial" w:eastAsia="Arial" w:hAnsi="Arial" w:cs="Arial"/>
                <w:sz w:val="14"/>
                <w:szCs w:val="14"/>
              </w:rPr>
              <w:t>Prednisolone,</w:t>
            </w:r>
            <w:r w:rsidRPr="000C4BEF">
              <w:rPr>
                <w:rFonts w:ascii="Arial" w:eastAsia="Arial" w:hAnsi="Arial" w:cs="Arial"/>
                <w:sz w:val="14"/>
                <w:szCs w:val="14"/>
              </w:rPr>
              <w:br/>
              <w:t>Azathioprine</w:t>
            </w:r>
          </w:p>
        </w:tc>
      </w:tr>
    </w:tbl>
    <w:p w14:paraId="099258D8" w14:textId="77777777" w:rsidR="005378C0" w:rsidRPr="000C4BEF" w:rsidRDefault="005378C0">
      <w:pPr>
        <w:spacing w:after="0" w:line="228" w:lineRule="auto"/>
        <w:ind w:left="2552"/>
        <w:jc w:val="both"/>
        <w:rPr>
          <w:rFonts w:ascii="Palatino Linotype" w:eastAsia="Palatino Linotype" w:hAnsi="Palatino Linotype" w:cs="Palatino Linotype"/>
          <w:b/>
          <w:sz w:val="20"/>
          <w:szCs w:val="20"/>
          <w:lang w:val="en-US"/>
        </w:rPr>
      </w:pPr>
    </w:p>
    <w:p w14:paraId="631A8D65" w14:textId="77777777" w:rsidR="005378C0" w:rsidRPr="000C4BEF" w:rsidRDefault="005378C0">
      <w:pPr>
        <w:rPr>
          <w:rFonts w:ascii="Palatino Linotype" w:eastAsia="Palatino Linotype" w:hAnsi="Palatino Linotype" w:cs="Palatino Linotype"/>
          <w:b/>
          <w:sz w:val="20"/>
          <w:szCs w:val="20"/>
          <w:lang w:val="en-US"/>
        </w:rPr>
      </w:pPr>
      <w:r w:rsidRPr="000C4BEF">
        <w:rPr>
          <w:rFonts w:ascii="Palatino Linotype" w:eastAsia="Palatino Linotype" w:hAnsi="Palatino Linotype" w:cs="Palatino Linotype"/>
          <w:b/>
          <w:sz w:val="20"/>
          <w:szCs w:val="20"/>
          <w:lang w:val="en-US"/>
        </w:rPr>
        <w:br w:type="page"/>
      </w:r>
    </w:p>
    <w:p w14:paraId="0678C3D4" w14:textId="61FD56C2" w:rsidR="001D1AF8" w:rsidRPr="000C4BEF" w:rsidRDefault="001D1AF8">
      <w:pPr>
        <w:spacing w:after="0" w:line="228" w:lineRule="auto"/>
        <w:ind w:left="2552"/>
        <w:jc w:val="both"/>
        <w:rPr>
          <w:rFonts w:ascii="Palatino Linotype" w:eastAsia="Palatino Linotype" w:hAnsi="Palatino Linotype" w:cs="Palatino Linotype"/>
          <w:sz w:val="20"/>
          <w:szCs w:val="20"/>
          <w:lang w:val="en-US"/>
        </w:rPr>
      </w:pPr>
    </w:p>
    <w:p w14:paraId="5C12990C" w14:textId="34FDAF2E" w:rsidR="001D1AF8" w:rsidRPr="000C4BEF" w:rsidRDefault="00222474" w:rsidP="001D1AF8">
      <w:pPr>
        <w:spacing w:after="0" w:line="240" w:lineRule="auto"/>
        <w:ind w:left="2552"/>
        <w:jc w:val="both"/>
        <w:rPr>
          <w:rFonts w:ascii="Times New Roman" w:eastAsia="Times New Roman" w:hAnsi="Times New Roman" w:cs="Times New Roman"/>
          <w:sz w:val="24"/>
          <w:szCs w:val="24"/>
        </w:rPr>
      </w:pPr>
      <w:r w:rsidRPr="000C4BEF">
        <w:rPr>
          <w:rFonts w:ascii="Palatino Linotype" w:eastAsia="Times New Roman" w:hAnsi="Palatino Linotype" w:cs="Times New Roman"/>
          <w:b/>
          <w:bCs/>
          <w:color w:val="000000"/>
          <w:sz w:val="20"/>
          <w:szCs w:val="20"/>
        </w:rPr>
        <w:t>F</w:t>
      </w:r>
      <w:r w:rsidRPr="000C4BEF">
        <w:rPr>
          <w:rFonts w:asciiTheme="minorEastAsia" w:hAnsiTheme="minorEastAsia" w:cs="Times New Roman" w:hint="eastAsia"/>
          <w:b/>
          <w:bCs/>
          <w:color w:val="000000"/>
          <w:sz w:val="20"/>
          <w:szCs w:val="20"/>
          <w:lang w:eastAsia="zh-CN"/>
        </w:rPr>
        <w:t>ig</w:t>
      </w:r>
      <w:r w:rsidRPr="000C4BEF">
        <w:rPr>
          <w:rFonts w:ascii="宋体" w:eastAsia="宋体" w:hAnsi="宋体" w:cs="宋体" w:hint="eastAsia"/>
          <w:b/>
          <w:bCs/>
          <w:color w:val="000000"/>
          <w:sz w:val="20"/>
          <w:szCs w:val="20"/>
          <w:lang w:eastAsia="zh-CN"/>
        </w:rPr>
        <w:t>.</w:t>
      </w:r>
      <w:r w:rsidR="001D1AF8" w:rsidRPr="000C4BEF">
        <w:rPr>
          <w:rFonts w:ascii="Palatino Linotype" w:eastAsia="Times New Roman" w:hAnsi="Palatino Linotype" w:cs="Times New Roman"/>
          <w:b/>
          <w:bCs/>
          <w:color w:val="000000"/>
          <w:sz w:val="20"/>
          <w:szCs w:val="20"/>
        </w:rPr>
        <w:t xml:space="preserve"> 1</w:t>
      </w:r>
      <w:r w:rsidR="001D1AF8" w:rsidRPr="000C4BEF">
        <w:rPr>
          <w:rFonts w:ascii="Palatino Linotype" w:eastAsia="Times New Roman" w:hAnsi="Palatino Linotype" w:cs="Times New Roman"/>
          <w:color w:val="000000"/>
          <w:sz w:val="20"/>
          <w:szCs w:val="20"/>
        </w:rPr>
        <w:t>. Example of an ABR recording.</w:t>
      </w:r>
    </w:p>
    <w:p w14:paraId="50865606" w14:textId="5F16EED6" w:rsidR="001D1AF8" w:rsidRPr="000C4BEF" w:rsidRDefault="001D1AF8" w:rsidP="001D1AF8">
      <w:pPr>
        <w:spacing w:after="0" w:line="240" w:lineRule="auto"/>
        <w:ind w:left="2552"/>
        <w:jc w:val="both"/>
        <w:rPr>
          <w:rFonts w:ascii="Times New Roman" w:eastAsia="Times New Roman" w:hAnsi="Times New Roman" w:cs="Times New Roman"/>
          <w:sz w:val="24"/>
          <w:szCs w:val="24"/>
        </w:rPr>
      </w:pPr>
      <w:r w:rsidRPr="000C4BEF">
        <w:rPr>
          <w:rFonts w:ascii="Palatino Linotype" w:eastAsia="Times New Roman" w:hAnsi="Palatino Linotype" w:cs="Times New Roman"/>
          <w:noProof/>
          <w:color w:val="000000"/>
          <w:sz w:val="20"/>
          <w:szCs w:val="20"/>
          <w:bdr w:val="none" w:sz="0" w:space="0" w:color="auto" w:frame="1"/>
        </w:rPr>
        <w:drawing>
          <wp:inline distT="0" distB="0" distL="0" distR="0" wp14:anchorId="5E1F3D44" wp14:editId="158309AD">
            <wp:extent cx="5029200" cy="4533900"/>
            <wp:effectExtent l="0" t="0" r="0" b="0"/>
            <wp:docPr id="2" name="Imagem 2" descr="https://lh7-rt.googleusercontent.com/docsz/AD_4nXfpns5KjdyYZQiF5skFwiyx_EXtRhcEscISvEbmaxP8uOXKV1U4WxvM7_1hf75pDDMKVQz9qEWY1Pnj3JCfS5fagcdJXkxUp51wHkogJm_wlEWr7TDr22OaYmgUn0SzKjIlfTQH9tHAX3UxJ7XsvQd1U-GqUQrLlp5nwNWA?key=iPT8OQlURsFnAqlQNYuo36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7-rt.googleusercontent.com/docsz/AD_4nXfpns5KjdyYZQiF5skFwiyx_EXtRhcEscISvEbmaxP8uOXKV1U4WxvM7_1hf75pDDMKVQz9qEWY1Pnj3JCfS5fagcdJXkxUp51wHkogJm_wlEWr7TDr22OaYmgUn0SzKjIlfTQH9tHAX3UxJ7XsvQd1U-GqUQrLlp5nwNWA?key=iPT8OQlURsFnAqlQNYuo36P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29200" cy="4533900"/>
                    </a:xfrm>
                    <a:prstGeom prst="rect">
                      <a:avLst/>
                    </a:prstGeom>
                    <a:noFill/>
                    <a:ln>
                      <a:noFill/>
                    </a:ln>
                  </pic:spPr>
                </pic:pic>
              </a:graphicData>
            </a:graphic>
          </wp:inline>
        </w:drawing>
      </w:r>
      <w:bookmarkStart w:id="0" w:name="_GoBack"/>
      <w:bookmarkEnd w:id="0"/>
    </w:p>
    <w:p w14:paraId="52F86A28"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5DF4C452"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66CD30F7"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69E005F2"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09764AAA"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1A274DDA"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38D3D5EE"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1B3A1FCA"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44788018"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1B661B24" w14:textId="77777777" w:rsidR="001D1AF8" w:rsidRPr="000C4BEF" w:rsidRDefault="001D1AF8" w:rsidP="001D1AF8">
      <w:pPr>
        <w:spacing w:after="0" w:line="240" w:lineRule="auto"/>
        <w:ind w:left="2552"/>
        <w:jc w:val="both"/>
        <w:rPr>
          <w:rFonts w:ascii="Palatino Linotype" w:eastAsia="Times New Roman" w:hAnsi="Palatino Linotype" w:cs="Times New Roman"/>
          <w:b/>
          <w:bCs/>
          <w:color w:val="000000"/>
          <w:sz w:val="20"/>
          <w:szCs w:val="20"/>
          <w:shd w:val="clear" w:color="auto" w:fill="FFFF00"/>
        </w:rPr>
      </w:pPr>
    </w:p>
    <w:p w14:paraId="706ACCE9" w14:textId="77777777" w:rsidR="001D1AF8" w:rsidRPr="000C4BEF" w:rsidRDefault="001D1AF8" w:rsidP="008B3DD6">
      <w:pPr>
        <w:spacing w:after="0" w:line="240" w:lineRule="auto"/>
        <w:jc w:val="both"/>
        <w:rPr>
          <w:rFonts w:ascii="Palatino Linotype" w:eastAsia="Times New Roman" w:hAnsi="Palatino Linotype" w:cs="Times New Roman"/>
          <w:b/>
          <w:bCs/>
          <w:color w:val="000000"/>
          <w:sz w:val="20"/>
          <w:szCs w:val="20"/>
          <w:shd w:val="clear" w:color="auto" w:fill="FFFF00"/>
        </w:rPr>
      </w:pPr>
    </w:p>
    <w:p w14:paraId="4C9EF6E6" w14:textId="176B1D01" w:rsidR="001D1AF8" w:rsidRPr="000C4BEF" w:rsidRDefault="00222474" w:rsidP="001D1AF8">
      <w:pPr>
        <w:spacing w:after="0" w:line="240" w:lineRule="auto"/>
        <w:ind w:left="2552"/>
        <w:jc w:val="both"/>
        <w:rPr>
          <w:rFonts w:ascii="Times New Roman" w:eastAsia="Times New Roman" w:hAnsi="Times New Roman" w:cs="Times New Roman"/>
          <w:sz w:val="24"/>
          <w:szCs w:val="24"/>
        </w:rPr>
      </w:pPr>
      <w:r w:rsidRPr="000C4BEF">
        <w:rPr>
          <w:rFonts w:ascii="Palatino Linotype" w:eastAsia="Times New Roman" w:hAnsi="Palatino Linotype" w:cs="Times New Roman"/>
          <w:b/>
          <w:bCs/>
          <w:color w:val="000000"/>
          <w:sz w:val="20"/>
          <w:szCs w:val="20"/>
        </w:rPr>
        <w:lastRenderedPageBreak/>
        <w:t>Fig.</w:t>
      </w:r>
      <w:r w:rsidR="001D1AF8" w:rsidRPr="000C4BEF">
        <w:rPr>
          <w:rFonts w:ascii="Palatino Linotype" w:eastAsia="Times New Roman" w:hAnsi="Palatino Linotype" w:cs="Times New Roman"/>
          <w:b/>
          <w:bCs/>
          <w:color w:val="000000"/>
          <w:sz w:val="20"/>
          <w:szCs w:val="20"/>
        </w:rPr>
        <w:t xml:space="preserve"> 2</w:t>
      </w:r>
      <w:r w:rsidR="001D1AF8" w:rsidRPr="000C4BEF">
        <w:rPr>
          <w:rFonts w:ascii="Palatino Linotype" w:eastAsia="Times New Roman" w:hAnsi="Palatino Linotype" w:cs="Times New Roman"/>
          <w:color w:val="000000"/>
          <w:sz w:val="20"/>
          <w:szCs w:val="20"/>
        </w:rPr>
        <w:t>. Example of a CAEP recording.</w:t>
      </w:r>
    </w:p>
    <w:p w14:paraId="4EF639E6" w14:textId="66C7DB99" w:rsidR="001D1AF8" w:rsidRPr="001D1AF8" w:rsidRDefault="001D1AF8" w:rsidP="001D1AF8">
      <w:pPr>
        <w:spacing w:after="0" w:line="240" w:lineRule="auto"/>
        <w:ind w:left="2552"/>
        <w:jc w:val="both"/>
        <w:rPr>
          <w:rFonts w:ascii="Times New Roman" w:eastAsia="Times New Roman" w:hAnsi="Times New Roman" w:cs="Times New Roman"/>
          <w:sz w:val="24"/>
          <w:szCs w:val="24"/>
        </w:rPr>
      </w:pPr>
      <w:r w:rsidRPr="000C4BEF">
        <w:rPr>
          <w:rFonts w:ascii="Palatino Linotype" w:eastAsia="Times New Roman" w:hAnsi="Palatino Linotype" w:cs="Times New Roman"/>
          <w:noProof/>
          <w:color w:val="000000"/>
          <w:sz w:val="20"/>
          <w:szCs w:val="20"/>
          <w:bdr w:val="none" w:sz="0" w:space="0" w:color="auto" w:frame="1"/>
        </w:rPr>
        <w:drawing>
          <wp:inline distT="0" distB="0" distL="0" distR="0" wp14:anchorId="6F7E51BC" wp14:editId="1D8BF786">
            <wp:extent cx="4657725" cy="6581775"/>
            <wp:effectExtent l="0" t="0" r="9525" b="9525"/>
            <wp:docPr id="1" name="Imagem 1" descr="https://lh7-rt.googleusercontent.com/docsz/AD_4nXe-5IE148EV_z3sx1KxT9cWJMyR1nAS-tLWxieaIRgvnjcDpE-NHDtKp0tmuIgIM_dC-imaGt3dNkLCIRfTXRlASZ7DfAmMDQQnBgjWEo9uu8DTWskbdXDSsnL2AWt9n1FcV8DMN8_rN0KLfKb3ynGlexlb38_07nPNJ_34lA?key=iPT8OQlURsFnAqlQNYuo36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7-rt.googleusercontent.com/docsz/AD_4nXe-5IE148EV_z3sx1KxT9cWJMyR1nAS-tLWxieaIRgvnjcDpE-NHDtKp0tmuIgIM_dC-imaGt3dNkLCIRfTXRlASZ7DfAmMDQQnBgjWEo9uu8DTWskbdXDSsnL2AWt9n1FcV8DMN8_rN0KLfKb3ynGlexlb38_07nPNJ_34lA?key=iPT8OQlURsFnAqlQNYuo36P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57725" cy="6581775"/>
                    </a:xfrm>
                    <a:prstGeom prst="rect">
                      <a:avLst/>
                    </a:prstGeom>
                    <a:noFill/>
                    <a:ln>
                      <a:noFill/>
                    </a:ln>
                  </pic:spPr>
                </pic:pic>
              </a:graphicData>
            </a:graphic>
          </wp:inline>
        </w:drawing>
      </w:r>
    </w:p>
    <w:sectPr w:rsidR="001D1AF8" w:rsidRPr="001D1AF8">
      <w:pgSz w:w="16838" w:h="11906" w:orient="landscape"/>
      <w:pgMar w:top="426" w:right="720" w:bottom="720" w:left="72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embedRegular r:id="rId1" w:fontKey="{1D56660C-0D92-409A-9EEB-B99FDD45E258}"/>
    <w:embedBold r:id="rId2" w:fontKey="{B6CC7F73-19BA-47F4-8537-8DBDAC47B504}"/>
  </w:font>
  <w:font w:name="等线">
    <w:altName w:val="DengXian"/>
    <w:panose1 w:val="02010600030101010101"/>
    <w:charset w:val="86"/>
    <w:family w:val="auto"/>
    <w:pitch w:val="variable"/>
    <w:sig w:usb0="A00002BF" w:usb1="38CF7CFA" w:usb2="00000016" w:usb3="00000000" w:csb0="0004000F" w:csb1="00000000"/>
    <w:embedBold r:id="rId3" w:subsetted="1" w:fontKey="{FFF17E41-F09F-466B-B589-2E53D1C33C41}"/>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8BEB9C17-4BC1-44C5-881C-FAB7B80C92CC}"/>
    <w:embedItalic r:id="rId5" w:fontKey="{E77A61B0-1E8B-4267-A043-4B3ABE02DFBB}"/>
  </w:font>
  <w:font w:name="Palatino Linotype">
    <w:panose1 w:val="02040502050505030304"/>
    <w:charset w:val="00"/>
    <w:family w:val="roman"/>
    <w:pitch w:val="variable"/>
    <w:sig w:usb0="E0000287" w:usb1="40000013" w:usb2="00000000" w:usb3="00000000" w:csb0="0000019F" w:csb1="00000000"/>
    <w:embedRegular r:id="rId6" w:fontKey="{6B2C1267-7090-464A-9F05-38AAC16151E9}"/>
    <w:embedBold r:id="rId7" w:fontKey="{B4B63A3C-5DA0-4B8A-A07F-33C6B418F51F}"/>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embedRegular r:id="rId8" w:fontKey="{4E0A0F44-96EB-4075-A00D-4F3E0B651C5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089"/>
    <w:rsid w:val="000A39A8"/>
    <w:rsid w:val="000C4BEF"/>
    <w:rsid w:val="001D1AF8"/>
    <w:rsid w:val="00222474"/>
    <w:rsid w:val="00312504"/>
    <w:rsid w:val="00411089"/>
    <w:rsid w:val="005378C0"/>
    <w:rsid w:val="005E75AC"/>
    <w:rsid w:val="00605128"/>
    <w:rsid w:val="00712BC0"/>
    <w:rsid w:val="008B3DD6"/>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CE4F6C"/>
  <w15:docId w15:val="{07923175-1820-49DD-9881-4668DB95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Normal (Web)"/>
    <w:basedOn w:val="a"/>
    <w:uiPriority w:val="99"/>
    <w:semiHidden/>
    <w:unhideWhenUsed/>
    <w:rsid w:val="00685559"/>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pPr>
      <w:spacing w:line="300" w:lineRule="auto"/>
      <w:jc w:val="center"/>
    </w:pPr>
    <w:rPr>
      <w:rFonts w:ascii="Times New Roman" w:eastAsia="Times New Roman" w:hAnsi="Times New Roman" w:cs="Times New Roman"/>
      <w:color w:val="000000"/>
    </w:rPr>
    <w:tblPr>
      <w:tblStyleRowBandSize w:val="1"/>
      <w:tblStyleColBandSize w:val="1"/>
      <w:tblCellMar>
        <w:left w:w="115" w:type="dxa"/>
        <w:right w:w="115" w:type="dxa"/>
      </w:tblCellMar>
    </w:tblPr>
    <w:tcPr>
      <w:vAlign w:val="center"/>
    </w:tcPr>
  </w:style>
  <w:style w:type="table" w:customStyle="1" w:styleId="a8">
    <w:basedOn w:val="TableNormal"/>
    <w:pPr>
      <w:spacing w:line="300" w:lineRule="auto"/>
      <w:jc w:val="center"/>
    </w:pPr>
    <w:rPr>
      <w:rFonts w:ascii="Times New Roman" w:eastAsia="Times New Roman" w:hAnsi="Times New Roman" w:cs="Times New Roman"/>
      <w:color w:val="000000"/>
    </w:rPr>
    <w:tblPr>
      <w:tblStyleRowBandSize w:val="1"/>
      <w:tblStyleColBandSize w:val="1"/>
      <w:tblCellMar>
        <w:left w:w="115" w:type="dxa"/>
        <w:right w:w="115" w:type="dxa"/>
      </w:tblCellMar>
    </w:tblPr>
    <w:tcPr>
      <w:vAlign w:val="center"/>
    </w:tcPr>
  </w:style>
  <w:style w:type="table" w:customStyle="1" w:styleId="a9">
    <w:basedOn w:val="TableNormal"/>
    <w:pPr>
      <w:spacing w:line="300" w:lineRule="auto"/>
      <w:jc w:val="center"/>
    </w:pPr>
    <w:rPr>
      <w:rFonts w:ascii="Times New Roman" w:eastAsia="Times New Roman" w:hAnsi="Times New Roman" w:cs="Times New Roman"/>
      <w:color w:val="000000"/>
    </w:rPr>
    <w:tblPr>
      <w:tblStyleRowBandSize w:val="1"/>
      <w:tblStyleColBandSize w:val="1"/>
      <w:tblCellMar>
        <w:left w:w="115" w:type="dxa"/>
        <w:right w:w="115" w:type="dxa"/>
      </w:tblCellMar>
    </w:tblPr>
    <w:tcPr>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23910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R+5vxRLtx7ErJ1IdUp3JG0EDuw==">CgMxLjAaHwoBMBIaChgICVIUChJ0YWJsZS43OGx3OXBoajFqaGIaHwoBMRIaChgICVIUChJ0YWJsZS5sYzhuN3plbnZyNjAaHwoBMhIaChgICVIUChJ0YWJsZS5la3VyYjZtaHNlMHM4AHIhMWVJNE8tR2otZU5BME4zWElrSGx1ejF2dDVISkJ1bUlv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686</Words>
  <Characters>4233</Characters>
  <Application>Microsoft Office Word</Application>
  <DocSecurity>0</DocSecurity>
  <Lines>117</Lines>
  <Paragraphs>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Liliane Fagundes</dc:creator>
  <cp:lastModifiedBy>Aileen</cp:lastModifiedBy>
  <cp:revision>8</cp:revision>
  <dcterms:created xsi:type="dcterms:W3CDTF">2024-06-11T10:42:00Z</dcterms:created>
  <dcterms:modified xsi:type="dcterms:W3CDTF">2025-04-10T09:45:00Z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649135a46d89dcd842c8850a690f26b0d70f0616ff24bad09898013f5bd30d4a</vt:lpwstr>
  </property>
</Properties>
</file>